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g6fy4zxyjex1" w:id="0"/>
      <w:bookmarkEnd w:id="0"/>
      <w:r w:rsidDel="00000000" w:rsidR="00000000" w:rsidRPr="00000000">
        <w:rPr>
          <w:rtl w:val="0"/>
        </w:rPr>
        <w:t xml:space="preserve">Local SEO Platform Comparison: 7 Layer Lister vs. Paid Syndication (BrightLocal, Yext, Semrush Local)</w:t>
      </w:r>
    </w:p>
    <w:p w:rsidR="00000000" w:rsidDel="00000000" w:rsidP="00000000" w:rsidRDefault="00000000" w:rsidRPr="00000000" w14:paraId="00000002">
      <w:pPr>
        <w:pStyle w:val="Heading5"/>
        <w:rPr/>
      </w:pPr>
      <w:bookmarkStart w:colFirst="0" w:colLast="0" w:name="_nl0lx6a91h8e" w:id="1"/>
      <w:bookmarkEnd w:id="1"/>
      <w:r w:rsidDel="00000000" w:rsidR="00000000" w:rsidRPr="00000000">
        <w:rPr>
          <w:rtl w:val="0"/>
        </w:rPr>
        <w:t xml:space="preserve">Updated: August 2026</w:t>
      </w:r>
    </w:p>
    <w:p w:rsidR="00000000" w:rsidDel="00000000" w:rsidP="00000000" w:rsidRDefault="00000000" w:rsidRPr="00000000" w14:paraId="00000003">
      <w:pPr>
        <w:pStyle w:val="Heading4"/>
        <w:rPr/>
      </w:pPr>
      <w:bookmarkStart w:colFirst="0" w:colLast="0" w:name="_e9pjfwfz7jam" w:id="2"/>
      <w:bookmarkEnd w:id="2"/>
      <w:r w:rsidDel="00000000" w:rsidR="00000000" w:rsidRPr="00000000">
        <w:rPr>
          <w:rtl w:val="0"/>
        </w:rPr>
        <w:t xml:space="preserve">1. Executive Introduction: The Great Local SEO Pivot</w:t>
      </w:r>
    </w:p>
    <w:p w:rsidR="00000000" w:rsidDel="00000000" w:rsidP="00000000" w:rsidRDefault="00000000" w:rsidRPr="00000000" w14:paraId="00000004">
      <w:pPr>
        <w:rPr/>
      </w:pPr>
      <w:r w:rsidDel="00000000" w:rsidR="00000000" w:rsidRPr="00000000">
        <w:rPr>
          <w:rtl w:val="0"/>
        </w:rPr>
        <w:t xml:space="preserve">The 2026 local SEO landscape is no longer a battle for simple directory counts; it is a battle for  </w:t>
      </w:r>
      <w:r w:rsidDel="00000000" w:rsidR="00000000" w:rsidRPr="00000000">
        <w:rPr>
          <w:b w:val="1"/>
          <w:bCs w:val="1"/>
          <w:rtl w:val="0"/>
        </w:rPr>
        <w:t xml:space="preserve">Entity Confidence</w:t>
      </w:r>
      <w:r w:rsidDel="00000000" w:rsidR="00000000" w:rsidRPr="00000000">
        <w:rPr>
          <w:rtl w:val="0"/>
        </w:rPr>
        <w:t xml:space="preserve"> . For too long, businesses have fallen into the "SaaS Trap"—a cycle of paying escalating per-location fees (reaching $150/month or more) to "rent" visibility on fragmented dashboards. These platforms often silo reviews, Google Business Profile (GBP) management, and citations, creating a "leaky funnel" where data drift actively suppresses rankings.</w:t>
      </w:r>
      <w:r w:rsidDel="00000000" w:rsidR="00000000" w:rsidRPr="00000000">
        <w:rPr>
          <w:b w:val="1"/>
          <w:bCs w:val="1"/>
          <w:rtl w:val="0"/>
        </w:rPr>
        <w:t xml:space="preserve">7 Layer Lister</w:t>
      </w:r>
      <w:r w:rsidDel="00000000" w:rsidR="00000000" w:rsidRPr="00000000">
        <w:rPr>
          <w:rtl w:val="0"/>
        </w:rPr>
        <w:t xml:space="preserve">  has emerged as the zero-SaaS fee alternative, shifting the strategy from recurring subscriptions to a high-leverage ownership model. By focusing on direct map claiming, custom Schema generation, and instant crawl signaling via the  </w:t>
      </w:r>
      <w:r w:rsidDel="00000000" w:rsidR="00000000" w:rsidRPr="00000000">
        <w:rPr>
          <w:b w:val="1"/>
          <w:bCs w:val="1"/>
          <w:rtl w:val="0"/>
        </w:rPr>
        <w:t xml:space="preserve">IndexNow</w:t>
      </w:r>
      <w:r w:rsidDel="00000000" w:rsidR="00000000" w:rsidRPr="00000000">
        <w:rPr>
          <w:rtl w:val="0"/>
        </w:rPr>
        <w:t xml:space="preserve">  protocol, it prioritizes "Canonical Identity" over rented syndication. This report compares the efficiency of this owned model against the industry’s leading paid platforms.</w:t>
      </w:r>
    </w:p>
    <w:p w:rsidR="00000000" w:rsidDel="00000000" w:rsidP="00000000" w:rsidRDefault="00000000" w:rsidRPr="00000000" w14:paraId="00000005">
      <w:pPr>
        <w:pStyle w:val="Heading4"/>
        <w:rPr/>
      </w:pPr>
      <w:bookmarkStart w:colFirst="0" w:colLast="0" w:name="_8gd8adn2xpu6" w:id="3"/>
      <w:bookmarkEnd w:id="3"/>
      <w:r w:rsidDel="00000000" w:rsidR="00000000" w:rsidRPr="00000000">
        <w:rPr>
          <w:rtl w:val="0"/>
        </w:rPr>
        <w:t xml:space="preserve">2. Comparison of Pricing and Service Models</w:t>
      </w:r>
    </w:p>
    <w:p w:rsidR="00000000" w:rsidDel="00000000" w:rsidP="00000000" w:rsidRDefault="00000000" w:rsidRPr="00000000" w14:paraId="00000006">
      <w:pPr>
        <w:rPr/>
      </w:pPr>
      <w:r w:rsidDel="00000000" w:rsidR="00000000" w:rsidRPr="00000000">
        <w:rPr>
          <w:rtl w:val="0"/>
        </w:rPr>
        <w:t xml:space="preserve">As of August 2026, the cost of entry and management intensity vary significantly across the top-tier solutions.| Platform | Entry Price | Pricing Model | Best Fit || ------ | ------ | ------ | ------ || </w:t>
      </w:r>
      <w:r w:rsidDel="00000000" w:rsidR="00000000" w:rsidRPr="00000000">
        <w:rPr>
          <w:b w:val="1"/>
          <w:bCs w:val="1"/>
          <w:rtl w:val="0"/>
        </w:rPr>
        <w:t xml:space="preserve">7 Layer Lister</w:t>
      </w:r>
      <w:r w:rsidDel="00000000" w:rsidR="00000000" w:rsidRPr="00000000">
        <w:rPr>
          <w:rtl w:val="0"/>
        </w:rPr>
        <w:t xml:space="preserve"> | Free | Zero SaaS Fees | SMBs, DIY, and Lean Agencies || </w:t>
      </w:r>
      <w:r w:rsidDel="00000000" w:rsidR="00000000" w:rsidRPr="00000000">
        <w:rPr>
          <w:b w:val="1"/>
          <w:bCs w:val="1"/>
          <w:rtl w:val="0"/>
        </w:rPr>
        <w:t xml:space="preserve">BrightLocal</w:t>
      </w:r>
      <w:r w:rsidDel="00000000" w:rsidR="00000000" w:rsidRPr="00000000">
        <w:rPr>
          <w:rtl w:val="0"/>
        </w:rPr>
        <w:t xml:space="preserve"> | $39/mo | SaaS — Self-serve | Agencies &amp; Small multi-location || </w:t>
      </w:r>
      <w:r w:rsidDel="00000000" w:rsidR="00000000" w:rsidRPr="00000000">
        <w:rPr>
          <w:b w:val="1"/>
          <w:bCs w:val="1"/>
          <w:rtl w:val="0"/>
        </w:rPr>
        <w:t xml:space="preserve">Yext</w:t>
      </w:r>
      <w:r w:rsidDel="00000000" w:rsidR="00000000" w:rsidRPr="00000000">
        <w:rPr>
          <w:rtl w:val="0"/>
        </w:rPr>
        <w:t xml:space="preserve"> | $199/mo | SaaS — Self-serve | Enterprise (100+ locations) || </w:t>
      </w:r>
      <w:r w:rsidDel="00000000" w:rsidR="00000000" w:rsidRPr="00000000">
        <w:rPr>
          <w:b w:val="1"/>
          <w:bCs w:val="1"/>
          <w:rtl w:val="0"/>
        </w:rPr>
        <w:t xml:space="preserve">Semrush Local</w:t>
      </w:r>
      <w:r w:rsidDel="00000000" w:rsidR="00000000" w:rsidRPr="00000000">
        <w:rPr>
          <w:rtl w:val="0"/>
        </w:rPr>
        <w:t xml:space="preserve"> | $20/mo* | SaaS — Add-on | Existing Semrush Users |</w:t>
      </w:r>
    </w:p>
    <w:p w:rsidR="00000000" w:rsidDel="00000000" w:rsidP="00000000" w:rsidRDefault="00000000" w:rsidRPr="00000000" w14:paraId="00000007">
      <w:pPr>
        <w:rPr>
          <w:i w:val="1"/>
          <w:iCs w:val="1"/>
        </w:rPr>
      </w:pPr>
      <w:r w:rsidDel="00000000" w:rsidR="00000000" w:rsidRPr="00000000">
        <w:rPr>
          <w:rtl w:val="0"/>
        </w:rPr>
        <w:t xml:space="preserve">*</w:t>
      </w:r>
      <w:r w:rsidDel="00000000" w:rsidR="00000000" w:rsidRPr="00000000">
        <w:rPr>
          <w:i w:val="1"/>
          <w:iCs w:val="1"/>
          <w:rtl w:val="0"/>
        </w:rPr>
        <w:t xml:space="preserve">Price is per location and requires an active Semrush subscription.</w:t>
      </w:r>
    </w:p>
    <w:p w:rsidR="00000000" w:rsidDel="00000000" w:rsidP="00000000" w:rsidRDefault="00000000" w:rsidRPr="00000000" w14:paraId="00000008">
      <w:pPr>
        <w:pStyle w:val="Heading4"/>
        <w:rPr/>
      </w:pPr>
      <w:bookmarkStart w:colFirst="0" w:colLast="0" w:name="_pnd2ays9q7pc" w:id="4"/>
      <w:bookmarkEnd w:id="4"/>
      <w:r w:rsidDel="00000000" w:rsidR="00000000" w:rsidRPr="00000000">
        <w:rPr>
          <w:rtl w:val="0"/>
        </w:rPr>
        <w:t xml:space="preserve">3. Data Ownership: Permanent Owned vs. Rented Subscription Sync</w:t>
      </w:r>
    </w:p>
    <w:p w:rsidR="00000000" w:rsidDel="00000000" w:rsidP="00000000" w:rsidRDefault="00000000" w:rsidRPr="00000000" w14:paraId="00000009">
      <w:pPr>
        <w:rPr/>
      </w:pPr>
      <w:r w:rsidDel="00000000" w:rsidR="00000000" w:rsidRPr="00000000">
        <w:rPr>
          <w:rtl w:val="0"/>
        </w:rPr>
        <w:t xml:space="preserve">A Senior Strategist views local data through the lens of  </w:t>
      </w:r>
      <w:r w:rsidDel="00000000" w:rsidR="00000000" w:rsidRPr="00000000">
        <w:rPr>
          <w:b w:val="1"/>
          <w:bCs w:val="1"/>
          <w:rtl w:val="0"/>
        </w:rPr>
        <w:t xml:space="preserve">Operational Discipline</w:t>
      </w:r>
      <w:r w:rsidDel="00000000" w:rsidR="00000000" w:rsidRPr="00000000">
        <w:rPr>
          <w:rtl w:val="0"/>
        </w:rPr>
        <w:t xml:space="preserve"> . You either own your entity or you rent it.</w:t>
      </w:r>
    </w:p>
    <w:p w:rsidR="00000000" w:rsidDel="00000000" w:rsidP="00000000" w:rsidRDefault="00000000" w:rsidRPr="00000000" w14:paraId="0000000A">
      <w:pPr>
        <w:numPr>
          <w:ilvl w:val="0"/>
          <w:numId w:val="3"/>
        </w:numPr>
        <w:ind w:left="720" w:hanging="360"/>
        <w:rPr>
          <w:u w:val="none"/>
        </w:rPr>
      </w:pPr>
      <w:r w:rsidDel="00000000" w:rsidR="00000000" w:rsidRPr="00000000">
        <w:rPr>
          <w:b w:val="1"/>
          <w:bCs w:val="1"/>
          <w:rtl w:val="0"/>
        </w:rPr>
        <w:t xml:space="preserve">The Rented Model (Subscription Sync):</w:t>
      </w:r>
      <w:r w:rsidDel="00000000" w:rsidR="00000000" w:rsidRPr="00000000">
        <w:rPr>
          <w:rtl w:val="0"/>
        </w:rPr>
        <w:t xml:space="preserve">  Platforms like Yext and Semrush Local operate on a syndication loop. According to Semrush documentation, the moment a subscription is canceled, the platform ceases distribution. Your business information then becomes subject to the  </w:t>
      </w:r>
      <w:r w:rsidDel="00000000" w:rsidR="00000000" w:rsidRPr="00000000">
        <w:rPr>
          <w:b w:val="1"/>
          <w:bCs w:val="1"/>
          <w:rtl w:val="0"/>
        </w:rPr>
        <w:t xml:space="preserve">"publisher's normal data compilation process."</w:t>
      </w:r>
      <w:r w:rsidDel="00000000" w:rsidR="00000000" w:rsidRPr="00000000">
        <w:rPr>
          <w:rtl w:val="0"/>
        </w:rPr>
        <w:t xml:space="preserve">  This is where "Temporal Data Decay" accelerates; without a paid gatekeeper, your data is at the mercy of whatever corrupted information a secondary aggregator's crawler finds.</w:t>
      </w:r>
    </w:p>
    <w:p w:rsidR="00000000" w:rsidDel="00000000" w:rsidP="00000000" w:rsidRDefault="00000000" w:rsidRPr="00000000" w14:paraId="0000000B">
      <w:pPr>
        <w:numPr>
          <w:ilvl w:val="0"/>
          <w:numId w:val="3"/>
        </w:numPr>
        <w:ind w:left="720" w:hanging="360"/>
        <w:rPr>
          <w:u w:val="none"/>
        </w:rPr>
      </w:pPr>
      <w:r w:rsidDel="00000000" w:rsidR="00000000" w:rsidRPr="00000000">
        <w:rPr>
          <w:b w:val="1"/>
          <w:bCs w:val="1"/>
          <w:rtl w:val="0"/>
        </w:rPr>
        <w:t xml:space="preserve">The Permanent Owned Model (7 Layer Lister/Manual):</w:t>
      </w:r>
      <w:r w:rsidDel="00000000" w:rsidR="00000000" w:rsidRPr="00000000">
        <w:rPr>
          <w:rtl w:val="0"/>
        </w:rPr>
        <w:t xml:space="preserve">  This model treats citations as permanent digital assets. Once you claim a high-authority profile, it is  </w:t>
      </w:r>
      <w:r w:rsidDel="00000000" w:rsidR="00000000" w:rsidRPr="00000000">
        <w:rPr>
          <w:b w:val="1"/>
          <w:bCs w:val="1"/>
          <w:rtl w:val="0"/>
        </w:rPr>
        <w:t xml:space="preserve">"yours to keep"</w:t>
      </w:r>
      <w:r w:rsidDel="00000000" w:rsidR="00000000" w:rsidRPr="00000000">
        <w:rPr>
          <w:rtl w:val="0"/>
        </w:rPr>
        <w:t xml:space="preserve">  without recurring fees. By establishing a single source of truth at the start, you prevent the data reversion that occurs when a SaaS dashboard is deactivated.</w:t>
      </w:r>
    </w:p>
    <w:p w:rsidR="00000000" w:rsidDel="00000000" w:rsidP="00000000" w:rsidRDefault="00000000" w:rsidRPr="00000000" w14:paraId="0000000C">
      <w:pPr>
        <w:pStyle w:val="Heading4"/>
        <w:rPr/>
      </w:pPr>
      <w:bookmarkStart w:colFirst="0" w:colLast="0" w:name="_j9j4gde26e9t" w:id="5"/>
      <w:bookmarkEnd w:id="5"/>
      <w:r w:rsidDel="00000000" w:rsidR="00000000" w:rsidRPr="00000000">
        <w:rPr>
          <w:rtl w:val="0"/>
        </w:rPr>
        <w:t xml:space="preserve">4. The 95% Rule: Direct Map Listings vs. The Aggregator Ecosystem</w:t>
      </w:r>
    </w:p>
    <w:p w:rsidR="00000000" w:rsidDel="00000000" w:rsidP="00000000" w:rsidRDefault="00000000" w:rsidRPr="00000000" w14:paraId="0000000D">
      <w:pPr>
        <w:rPr/>
      </w:pPr>
      <w:r w:rsidDel="00000000" w:rsidR="00000000" w:rsidRPr="00000000">
        <w:rPr>
          <w:rtl w:val="0"/>
        </w:rPr>
        <w:t xml:space="preserve">Efficiency in 2026 is determined by the  </w:t>
      </w:r>
      <w:r w:rsidDel="00000000" w:rsidR="00000000" w:rsidRPr="00000000">
        <w:rPr>
          <w:b w:val="1"/>
          <w:bCs w:val="1"/>
          <w:rtl w:val="0"/>
        </w:rPr>
        <w:t xml:space="preserve">95% Rule</w:t>
      </w:r>
      <w:r w:rsidDel="00000000" w:rsidR="00000000" w:rsidRPr="00000000">
        <w:rPr>
          <w:rtl w:val="0"/>
        </w:rPr>
        <w:t xml:space="preserve"> : 4 to 5 core platforms— </w:t>
      </w:r>
      <w:r w:rsidDel="00000000" w:rsidR="00000000" w:rsidRPr="00000000">
        <w:rPr>
          <w:b w:val="1"/>
          <w:bCs w:val="1"/>
          <w:rtl w:val="0"/>
        </w:rPr>
        <w:t xml:space="preserve">Google, Bing, Apple, Yelp, and Foursquare</w:t>
      </w:r>
      <w:r w:rsidDel="00000000" w:rsidR="00000000" w:rsidRPr="00000000">
        <w:rPr>
          <w:rtl w:val="0"/>
        </w:rPr>
        <w:t xml:space="preserve"> —drive over 95% of all local searches, car navigation queries, and calls.The broader "Aggregator Ecosystem" functions on a hierarchy of trust. According to the Jasmine Directory, not all sources are equal:| Source Type | Trust Score (out of 10) | Verification Method || ------ | ------ | ------ || </w:t>
      </w:r>
      <w:r w:rsidDel="00000000" w:rsidR="00000000" w:rsidRPr="00000000">
        <w:rPr>
          <w:b w:val="1"/>
          <w:bCs w:val="1"/>
          <w:rtl w:val="0"/>
        </w:rPr>
        <w:t xml:space="preserve">Government Registries</w:t>
      </w:r>
      <w:r w:rsidDel="00000000" w:rsidR="00000000" w:rsidRPr="00000000">
        <w:rPr>
          <w:rtl w:val="0"/>
        </w:rPr>
        <w:t xml:space="preserve"> | 9.5 | Official Documentation || </w:t>
      </w:r>
      <w:r w:rsidDel="00000000" w:rsidR="00000000" w:rsidRPr="00000000">
        <w:rPr>
          <w:b w:val="1"/>
          <w:bCs w:val="1"/>
          <w:rtl w:val="0"/>
        </w:rPr>
        <w:t xml:space="preserve">Established Directories</w:t>
      </w:r>
      <w:r w:rsidDel="00000000" w:rsidR="00000000" w:rsidRPr="00000000">
        <w:rPr>
          <w:rtl w:val="0"/>
        </w:rPr>
        <w:t xml:space="preserve"> | 8.5 | Owner Verification || </w:t>
      </w:r>
      <w:r w:rsidDel="00000000" w:rsidR="00000000" w:rsidRPr="00000000">
        <w:rPr>
          <w:b w:val="1"/>
          <w:bCs w:val="1"/>
          <w:rtl w:val="0"/>
        </w:rPr>
        <w:t xml:space="preserve">Third-party Databases</w:t>
      </w:r>
      <w:r w:rsidDel="00000000" w:rsidR="00000000" w:rsidRPr="00000000">
        <w:rPr>
          <w:rtl w:val="0"/>
        </w:rPr>
        <w:t xml:space="preserve"> | 7.5 | Cross-reference Matching || </w:t>
      </w:r>
      <w:r w:rsidDel="00000000" w:rsidR="00000000" w:rsidRPr="00000000">
        <w:rPr>
          <w:b w:val="1"/>
          <w:bCs w:val="1"/>
          <w:rtl w:val="0"/>
        </w:rPr>
        <w:t xml:space="preserve">Web Crawl Data</w:t>
      </w:r>
      <w:r w:rsidDel="00000000" w:rsidR="00000000" w:rsidRPr="00000000">
        <w:rPr>
          <w:rtl w:val="0"/>
        </w:rPr>
        <w:t xml:space="preserve"> | 6.0 | Algorithmic Validation |</w:t>
      </w:r>
    </w:p>
    <w:p w:rsidR="00000000" w:rsidDel="00000000" w:rsidP="00000000" w:rsidRDefault="00000000" w:rsidRPr="00000000" w14:paraId="0000000E">
      <w:pPr>
        <w:rPr/>
      </w:pPr>
      <w:r w:rsidDel="00000000" w:rsidR="00000000" w:rsidRPr="00000000">
        <w:rPr>
          <w:rtl w:val="0"/>
        </w:rPr>
        <w:t xml:space="preserve">Automated matching accuracy typically hovers between  </w:t>
      </w:r>
      <w:r w:rsidDel="00000000" w:rsidR="00000000" w:rsidRPr="00000000">
        <w:rPr>
          <w:b w:val="1"/>
          <w:bCs w:val="1"/>
          <w:rtl w:val="0"/>
        </w:rPr>
        <w:t xml:space="preserve">85–92%</w:t>
      </w:r>
      <w:r w:rsidDel="00000000" w:rsidR="00000000" w:rsidRPr="00000000">
        <w:rPr>
          <w:rtl w:val="0"/>
        </w:rPr>
        <w:t xml:space="preserve"> . This means human review and manual claiming of primary sources are mathematically superior to relying on an aggregator's "best guess" crawl. By verifying the primary hubs, you force secondary directories to align with your high-authority data.</w:t>
      </w:r>
    </w:p>
    <w:p w:rsidR="00000000" w:rsidDel="00000000" w:rsidP="00000000" w:rsidRDefault="00000000" w:rsidRPr="00000000" w14:paraId="0000000F">
      <w:pPr>
        <w:pStyle w:val="Heading4"/>
        <w:rPr/>
      </w:pPr>
      <w:bookmarkStart w:colFirst="0" w:colLast="0" w:name="_xcmqollfxaq2" w:id="6"/>
      <w:bookmarkEnd w:id="6"/>
      <w:r w:rsidDel="00000000" w:rsidR="00000000" w:rsidRPr="00000000">
        <w:rPr>
          <w:rtl w:val="0"/>
        </w:rPr>
        <w:t xml:space="preserve">5. Technical Crawl Signaling: IndexNow vs. Aggregator Latency</w:t>
      </w:r>
    </w:p>
    <w:p w:rsidR="00000000" w:rsidDel="00000000" w:rsidP="00000000" w:rsidRDefault="00000000" w:rsidRPr="00000000" w14:paraId="00000010">
      <w:pPr>
        <w:rPr/>
      </w:pPr>
      <w:r w:rsidDel="00000000" w:rsidR="00000000" w:rsidRPr="00000000">
        <w:rPr>
          <w:rtl w:val="0"/>
        </w:rPr>
        <w:t xml:space="preserve">Speed is a competitive advantage. Traditional aggregator feeds are plagued by  </w:t>
      </w:r>
      <w:r w:rsidDel="00000000" w:rsidR="00000000" w:rsidRPr="00000000">
        <w:rPr>
          <w:b w:val="1"/>
          <w:bCs w:val="1"/>
          <w:rtl w:val="0"/>
        </w:rPr>
        <w:t xml:space="preserve">Technical Latency</w:t>
      </w:r>
      <w:r w:rsidDel="00000000" w:rsidR="00000000" w:rsidRPr="00000000">
        <w:rPr>
          <w:rtl w:val="0"/>
        </w:rPr>
        <w:t xml:space="preserve"> . While standard updates might process in 24–72 hours, Semrush documentation reveals that many publishers only update  </w:t>
      </w:r>
      <w:r w:rsidDel="00000000" w:rsidR="00000000" w:rsidRPr="00000000">
        <w:rPr>
          <w:b w:val="1"/>
          <w:bCs w:val="1"/>
          <w:rtl w:val="0"/>
        </w:rPr>
        <w:t xml:space="preserve">monthly, bi-weekly, or every 4–6 weeks</w:t>
      </w:r>
      <w:r w:rsidDel="00000000" w:rsidR="00000000" w:rsidRPr="00000000">
        <w:rPr>
          <w:rtl w:val="0"/>
        </w:rPr>
        <w:t xml:space="preserve"> .7 Layer Lister bypasses this "latency gap" using the  </w:t>
      </w:r>
      <w:r w:rsidDel="00000000" w:rsidR="00000000" w:rsidRPr="00000000">
        <w:rPr>
          <w:b w:val="1"/>
          <w:bCs w:val="1"/>
          <w:rtl w:val="0"/>
        </w:rPr>
        <w:t xml:space="preserve">IndexNow protocol</w:t>
      </w:r>
      <w:r w:rsidDel="00000000" w:rsidR="00000000" w:rsidRPr="00000000">
        <w:rPr>
          <w:rtl w:val="0"/>
        </w:rPr>
        <w:t xml:space="preserve"> .</w:t>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The IndexNow Push:</w:t>
      </w:r>
      <w:r w:rsidDel="00000000" w:rsidR="00000000" w:rsidRPr="00000000">
        <w:rPr>
          <w:rtl w:val="0"/>
        </w:rPr>
        <w:t xml:space="preserve">  This is an instant crawl request dispatched to Microsoft Bing and participating search engines.</w:t>
      </w:r>
    </w:p>
    <w:p w:rsidR="00000000" w:rsidDel="00000000" w:rsidP="00000000" w:rsidRDefault="00000000" w:rsidRPr="00000000" w14:paraId="00000012">
      <w:pPr>
        <w:numPr>
          <w:ilvl w:val="0"/>
          <w:numId w:val="1"/>
        </w:numPr>
        <w:ind w:left="720" w:hanging="360"/>
        <w:rPr>
          <w:u w:val="none"/>
        </w:rPr>
      </w:pPr>
      <w:r w:rsidDel="00000000" w:rsidR="00000000" w:rsidRPr="00000000">
        <w:rPr>
          <w:b w:val="1"/>
          <w:bCs w:val="1"/>
          <w:rtl w:val="0"/>
        </w:rPr>
        <w:t xml:space="preserve">Strategic Advantage:</w:t>
      </w:r>
      <w:r w:rsidDel="00000000" w:rsidR="00000000" w:rsidRPr="00000000">
        <w:rPr>
          <w:rtl w:val="0"/>
        </w:rPr>
        <w:t xml:space="preserve">  It signals search bots to prioritize visiting your domain immediately, ensuring your latest NAP (Name, Address, Phone) or holiday hours are indexed in minutes, not months.</w:t>
      </w:r>
    </w:p>
    <w:p w:rsidR="00000000" w:rsidDel="00000000" w:rsidP="00000000" w:rsidRDefault="00000000" w:rsidRPr="00000000" w14:paraId="00000013">
      <w:pPr>
        <w:pStyle w:val="Heading4"/>
        <w:rPr/>
      </w:pPr>
      <w:bookmarkStart w:colFirst="0" w:colLast="0" w:name="_bjkcc7pe5uj" w:id="7"/>
      <w:bookmarkEnd w:id="7"/>
      <w:r w:rsidDel="00000000" w:rsidR="00000000" w:rsidRPr="00000000">
        <w:rPr>
          <w:rtl w:val="0"/>
        </w:rPr>
        <w:t xml:space="preserve">6. Structured Data &amp; Entity Confidence: LocalBusiness JSON-LD Schema</w:t>
      </w:r>
    </w:p>
    <w:p w:rsidR="00000000" w:rsidDel="00000000" w:rsidP="00000000" w:rsidRDefault="00000000" w:rsidRPr="00000000" w14:paraId="00000014">
      <w:pPr>
        <w:rPr/>
      </w:pPr>
      <w:r w:rsidDel="00000000" w:rsidR="00000000" w:rsidRPr="00000000">
        <w:rPr>
          <w:rtl w:val="0"/>
        </w:rPr>
        <w:t xml:space="preserve">In the era of AI search (ChatGPT, Gemini, Perplexity),  </w:t>
      </w:r>
      <w:r w:rsidDel="00000000" w:rsidR="00000000" w:rsidRPr="00000000">
        <w:rPr>
          <w:b w:val="1"/>
          <w:bCs w:val="1"/>
          <w:rtl w:val="0"/>
        </w:rPr>
        <w:t xml:space="preserve">"Distribution is the New Optimization."</w:t>
      </w:r>
      <w:r w:rsidDel="00000000" w:rsidR="00000000" w:rsidRPr="00000000">
        <w:rPr>
          <w:rtl w:val="0"/>
        </w:rPr>
        <w:t xml:space="preserve">  To be cited by an AI answer engine, you must provide clear, machine-readable facts.The 2026 workflow follows the Yext formula:</w:t>
      </w:r>
      <w:r w:rsidDel="00000000" w:rsidR="00000000" w:rsidRPr="00000000">
        <w:rPr>
          <w:rFonts w:ascii="Arial Unicode MS" w:cs="Arial Unicode MS" w:eastAsia="Arial Unicode MS" w:hAnsi="Arial Unicode MS"/>
          <w:b w:val="1"/>
          <w:bCs w:val="1"/>
          <w:rtl w:val="0"/>
        </w:rPr>
        <w:t xml:space="preserve">Structure once → Distribute everywhere → Monitor what gets cited.</w:t>
      </w:r>
      <w:r w:rsidDel="00000000" w:rsidR="00000000" w:rsidRPr="00000000">
        <w:rPr>
          <w:rtl w:val="0"/>
        </w:rPr>
        <w:t xml:space="preserve">7 Layer Lister generates custom  </w:t>
      </w:r>
      <w:r w:rsidDel="00000000" w:rsidR="00000000" w:rsidRPr="00000000">
        <w:rPr>
          <w:b w:val="1"/>
          <w:bCs w:val="1"/>
          <w:rtl w:val="0"/>
        </w:rPr>
        <w:t xml:space="preserve">LocalBusiness JSON-LD code</w:t>
      </w:r>
      <w:r w:rsidDel="00000000" w:rsidR="00000000" w:rsidRPr="00000000">
        <w:rPr>
          <w:rtl w:val="0"/>
        </w:rPr>
        <w:t xml:space="preserve">  to feed this machine. This structured data reduces ambiguity, allowing AI assistants to recognize your brand as a distinct entity. High "Citation Confidence" ensures that when a user asks for a "specialist near me," the AI cites your specific attributes (service type, phone buttons, rich map pins) rather than skipping your brand due to conflicting unorganized data.</w:t>
      </w:r>
    </w:p>
    <w:p w:rsidR="00000000" w:rsidDel="00000000" w:rsidP="00000000" w:rsidRDefault="00000000" w:rsidRPr="00000000" w14:paraId="00000015">
      <w:pPr>
        <w:pStyle w:val="Heading4"/>
        <w:rPr/>
      </w:pPr>
      <w:bookmarkStart w:colFirst="0" w:colLast="0" w:name="_1a9xoiokkyux" w:id="8"/>
      <w:bookmarkEnd w:id="8"/>
      <w:r w:rsidDel="00000000" w:rsidR="00000000" w:rsidRPr="00000000">
        <w:rPr>
          <w:rtl w:val="0"/>
        </w:rPr>
        <w:t xml:space="preserve">7. Strategic Analysis: Recommendation Matrix</w:t>
      </w:r>
    </w:p>
    <w:p w:rsidR="00000000" w:rsidDel="00000000" w:rsidP="00000000" w:rsidRDefault="00000000" w:rsidRPr="00000000" w14:paraId="00000016">
      <w:pPr>
        <w:rPr/>
      </w:pPr>
      <w:r w:rsidDel="00000000" w:rsidR="00000000" w:rsidRPr="00000000">
        <w:rPr>
          <w:rtl w:val="0"/>
        </w:rPr>
        <w:t xml:space="preserve">The ideal choice depends on the scale of your "Digital Trail" and your capacity for governance.| Business Scale | Recommended Path | Initial Time Investment | Management Intensity || ------ | ------ | ------ | ------ || </w:t>
      </w:r>
      <w:r w:rsidDel="00000000" w:rsidR="00000000" w:rsidRPr="00000000">
        <w:rPr>
          <w:b w:val="1"/>
          <w:bCs w:val="1"/>
          <w:rtl w:val="0"/>
        </w:rPr>
        <w:t xml:space="preserve">Single SMB / Owner-Op</w:t>
      </w:r>
      <w:r w:rsidDel="00000000" w:rsidR="00000000" w:rsidRPr="00000000">
        <w:rPr>
          <w:rtl w:val="0"/>
        </w:rPr>
        <w:t xml:space="preserve"> | 7 Layer Lister / BrightLocal | 20+ Hours (DIY) | High (Initial) / Low (Ongoing) || </w:t>
      </w:r>
      <w:r w:rsidDel="00000000" w:rsidR="00000000" w:rsidRPr="00000000">
        <w:rPr>
          <w:b w:val="1"/>
          <w:bCs w:val="1"/>
          <w:rtl w:val="0"/>
        </w:rPr>
        <w:t xml:space="preserve">Multi-Location (5–50)</w:t>
      </w:r>
      <w:r w:rsidDel="00000000" w:rsidR="00000000" w:rsidRPr="00000000">
        <w:rPr>
          <w:rtl w:val="0"/>
        </w:rPr>
        <w:t xml:space="preserve"> | RankWorks (Managed) | 5–10 Hours | Moderate (Centralized) || </w:t>
      </w:r>
      <w:r w:rsidDel="00000000" w:rsidR="00000000" w:rsidRPr="00000000">
        <w:rPr>
          <w:b w:val="1"/>
          <w:bCs w:val="1"/>
          <w:rtl w:val="0"/>
        </w:rPr>
        <w:t xml:space="preserve">Enterprise (100+)</w:t>
      </w:r>
      <w:r w:rsidDel="00000000" w:rsidR="00000000" w:rsidRPr="00000000">
        <w:rPr>
          <w:rtl w:val="0"/>
        </w:rPr>
        <w:t xml:space="preserve"> | Yext + RankWorks Layer | 40+ Hours (Setup) | Low (Syndicated) |</w:t>
      </w:r>
    </w:p>
    <w:p w:rsidR="00000000" w:rsidDel="00000000" w:rsidP="00000000" w:rsidRDefault="00000000" w:rsidRPr="00000000" w14:paraId="00000017">
      <w:pPr>
        <w:rPr/>
      </w:pPr>
      <w:r w:rsidDel="00000000" w:rsidR="00000000" w:rsidRPr="00000000">
        <w:rPr>
          <w:b w:val="1"/>
          <w:bCs w:val="1"/>
          <w:rtl w:val="0"/>
        </w:rPr>
        <w:t xml:space="preserve">The Franchise Problem:</w:t>
      </w:r>
      <w:r w:rsidDel="00000000" w:rsidR="00000000" w:rsidRPr="00000000">
        <w:rPr>
          <w:rtl w:val="0"/>
        </w:rPr>
        <w:t xml:space="preserve">  A 50-location brand handles between  </w:t>
      </w:r>
      <w:r w:rsidDel="00000000" w:rsidR="00000000" w:rsidRPr="00000000">
        <w:rPr>
          <w:b w:val="1"/>
          <w:bCs w:val="1"/>
          <w:rtl w:val="0"/>
        </w:rPr>
        <w:t xml:space="preserve">2,500 and 5,000 active citation records</w:t>
      </w:r>
      <w:r w:rsidDel="00000000" w:rsidR="00000000" w:rsidRPr="00000000">
        <w:rPr>
          <w:rtl w:val="0"/>
        </w:rPr>
        <w:t xml:space="preserve"> . At this scale, "Data Drift" (where franchisee-created profiles conflict with corporate data) becomes an existential threat to rankings. Centralized governance is required to lock core identity fields and prevent thousands of inconsistent records from confusing search engines.</w:t>
      </w:r>
    </w:p>
    <w:p w:rsidR="00000000" w:rsidDel="00000000" w:rsidP="00000000" w:rsidRDefault="00000000" w:rsidRPr="00000000" w14:paraId="00000018">
      <w:pPr>
        <w:pStyle w:val="Heading4"/>
        <w:rPr/>
      </w:pPr>
      <w:bookmarkStart w:colFirst="0" w:colLast="0" w:name="_yqy9r4g99ie7" w:id="9"/>
      <w:bookmarkEnd w:id="9"/>
      <w:r w:rsidDel="00000000" w:rsidR="00000000" w:rsidRPr="00000000">
        <w:rPr>
          <w:rtl w:val="0"/>
        </w:rPr>
        <w:t xml:space="preserve">8. Critical Action Items: Cleaning the "Digital Trail"</w:t>
      </w:r>
    </w:p>
    <w:p w:rsidR="00000000" w:rsidDel="00000000" w:rsidP="00000000" w:rsidRDefault="00000000" w:rsidRPr="00000000" w14:paraId="00000019">
      <w:pPr>
        <w:rPr>
          <w:b w:val="1"/>
          <w:bCs w:val="1"/>
        </w:rPr>
      </w:pPr>
      <w:r w:rsidDel="00000000" w:rsidR="00000000" w:rsidRPr="00000000">
        <w:rPr>
          <w:rtl w:val="0"/>
        </w:rPr>
        <w:t xml:space="preserve">To maintain a clean footprint, all management must follow the  </w:t>
      </w:r>
      <w:r w:rsidDel="00000000" w:rsidR="00000000" w:rsidRPr="00000000">
        <w:rPr>
          <w:b w:val="1"/>
          <w:bCs w:val="1"/>
          <w:rtl w:val="0"/>
        </w:rPr>
        <w:t xml:space="preserve">3Cs of NAP: Complete, Correct, and Consistent.</w:t>
      </w:r>
    </w:p>
    <w:p w:rsidR="00000000" w:rsidDel="00000000" w:rsidP="00000000" w:rsidRDefault="00000000" w:rsidRPr="00000000" w14:paraId="0000001A">
      <w:pPr>
        <w:pStyle w:val="Heading5"/>
        <w:rPr/>
      </w:pPr>
      <w:bookmarkStart w:colFirst="0" w:colLast="0" w:name="_dnx3v5ygbaf2" w:id="10"/>
      <w:bookmarkEnd w:id="10"/>
      <w:r w:rsidDel="00000000" w:rsidR="00000000" w:rsidRPr="00000000">
        <w:rPr>
          <w:rtl w:val="0"/>
        </w:rPr>
        <w:t xml:space="preserve">Resolving Duplicate Listings</w:t>
      </w:r>
    </w:p>
    <w:p w:rsidR="00000000" w:rsidDel="00000000" w:rsidP="00000000" w:rsidRDefault="00000000" w:rsidRPr="00000000" w14:paraId="0000001B">
      <w:pPr>
        <w:numPr>
          <w:ilvl w:val="0"/>
          <w:numId w:val="2"/>
        </w:numPr>
        <w:ind w:left="720" w:hanging="360"/>
        <w:rPr>
          <w:u w:val="none"/>
        </w:rPr>
      </w:pPr>
      <w:r w:rsidDel="00000000" w:rsidR="00000000" w:rsidRPr="00000000">
        <w:rPr>
          <w:b w:val="1"/>
          <w:bCs w:val="1"/>
          <w:rtl w:val="0"/>
        </w:rPr>
        <w:t xml:space="preserve">Merge:</w:t>
      </w:r>
      <w:r w:rsidDel="00000000" w:rsidR="00000000" w:rsidRPr="00000000">
        <w:rPr>
          <w:rtl w:val="0"/>
        </w:rPr>
        <w:t xml:space="preserve">  Combine two profiles into one canonical record. This preserves reviews and historical authority.</w:t>
      </w:r>
    </w:p>
    <w:p w:rsidR="00000000" w:rsidDel="00000000" w:rsidP="00000000" w:rsidRDefault="00000000" w:rsidRPr="00000000" w14:paraId="0000001C">
      <w:pPr>
        <w:numPr>
          <w:ilvl w:val="0"/>
          <w:numId w:val="2"/>
        </w:numPr>
        <w:ind w:left="720" w:hanging="360"/>
        <w:rPr>
          <w:u w:val="none"/>
        </w:rPr>
      </w:pPr>
      <w:r w:rsidDel="00000000" w:rsidR="00000000" w:rsidRPr="00000000">
        <w:rPr>
          <w:b w:val="1"/>
          <w:bCs w:val="1"/>
          <w:rtl w:val="0"/>
        </w:rPr>
        <w:t xml:space="preserve">Suppress:</w:t>
      </w:r>
      <w:r w:rsidDel="00000000" w:rsidR="00000000" w:rsidRPr="00000000">
        <w:rPr>
          <w:rtl w:val="0"/>
        </w:rPr>
        <w:t xml:space="preserve">  Hide a duplicate from public view when it cannot be deleted. This is critical for stopping "split signals."</w:t>
      </w:r>
    </w:p>
    <w:p w:rsidR="00000000" w:rsidDel="00000000" w:rsidP="00000000" w:rsidRDefault="00000000" w:rsidRPr="00000000" w14:paraId="0000001D">
      <w:pPr>
        <w:numPr>
          <w:ilvl w:val="0"/>
          <w:numId w:val="2"/>
        </w:numPr>
        <w:ind w:left="720" w:hanging="360"/>
        <w:rPr>
          <w:u w:val="none"/>
        </w:rPr>
      </w:pPr>
      <w:r w:rsidDel="00000000" w:rsidR="00000000" w:rsidRPr="00000000">
        <w:rPr>
          <w:b w:val="1"/>
          <w:bCs w:val="1"/>
          <w:rtl w:val="0"/>
        </w:rPr>
        <w:t xml:space="preserve">Delete:</w:t>
      </w:r>
      <w:r w:rsidDel="00000000" w:rsidR="00000000" w:rsidRPr="00000000">
        <w:rPr>
          <w:rtl w:val="0"/>
        </w:rPr>
        <w:t xml:space="preserve">  Use only if you control the profile and it contains zero valuable history.</w:t>
      </w:r>
    </w:p>
    <w:p w:rsidR="00000000" w:rsidDel="00000000" w:rsidP="00000000" w:rsidRDefault="00000000" w:rsidRPr="00000000" w14:paraId="0000001E">
      <w:pPr>
        <w:pStyle w:val="Heading5"/>
        <w:rPr/>
      </w:pPr>
      <w:bookmarkStart w:colFirst="0" w:colLast="0" w:name="_vuhe1tgc2mr8" w:id="11"/>
      <w:bookmarkEnd w:id="11"/>
      <w:r w:rsidDel="00000000" w:rsidR="00000000" w:rsidRPr="00000000">
        <w:rPr>
          <w:rtl w:val="0"/>
        </w:rPr>
        <w:t xml:space="preserve">Special Considerations for Healthcare &amp; Legal</w:t>
      </w:r>
    </w:p>
    <w:p w:rsidR="00000000" w:rsidDel="00000000" w:rsidP="00000000" w:rsidRDefault="00000000" w:rsidRPr="00000000" w14:paraId="0000001F">
      <w:pPr>
        <w:rPr/>
      </w:pPr>
      <w:r w:rsidDel="00000000" w:rsidR="00000000" w:rsidRPr="00000000">
        <w:rPr>
          <w:rtl w:val="0"/>
        </w:rPr>
        <w:t xml:space="preserve">In professional fields, the  </w:t>
      </w:r>
      <w:r w:rsidDel="00000000" w:rsidR="00000000" w:rsidRPr="00000000">
        <w:rPr>
          <w:b w:val="1"/>
          <w:bCs w:val="1"/>
          <w:rtl w:val="0"/>
        </w:rPr>
        <w:t xml:space="preserve">"Practice vs. Practitioner"</w:t>
      </w:r>
      <w:r w:rsidDel="00000000" w:rsidR="00000000" w:rsidRPr="00000000">
        <w:rPr>
          <w:rtl w:val="0"/>
        </w:rPr>
        <w:t xml:space="preserve">  confusion causes outsized damage. Inaccurate provider listings on directories like  </w:t>
      </w:r>
      <w:r w:rsidDel="00000000" w:rsidR="00000000" w:rsidRPr="00000000">
        <w:rPr>
          <w:b w:val="1"/>
          <w:bCs w:val="1"/>
          <w:rtl w:val="0"/>
        </w:rPr>
        <w:t xml:space="preserve">DocSpot, WebMD, Wellness.com, and Vitals</w:t>
      </w:r>
      <w:r w:rsidDel="00000000" w:rsidR="00000000" w:rsidRPr="00000000">
        <w:rPr>
          <w:rtl w:val="0"/>
        </w:rPr>
        <w:t xml:space="preserve">  do more than hurt SEO; they send patients to the wrong clinic. The strategy must be to align all individual practitioner profiles to reference the same canonical Practice NAP.</w:t>
      </w:r>
    </w:p>
    <w:p w:rsidR="00000000" w:rsidDel="00000000" w:rsidP="00000000" w:rsidRDefault="00000000" w:rsidRPr="00000000" w14:paraId="00000020">
      <w:pPr>
        <w:pStyle w:val="Heading4"/>
        <w:rPr/>
      </w:pPr>
      <w:bookmarkStart w:colFirst="0" w:colLast="0" w:name="_knkmryqyn6f0" w:id="12"/>
      <w:bookmarkEnd w:id="12"/>
      <w:r w:rsidDel="00000000" w:rsidR="00000000" w:rsidRPr="00000000">
        <w:rPr>
          <w:rtl w:val="0"/>
        </w:rPr>
        <w:t xml:space="preserve">9. Final Verdict: The 2026 Local Visibility Strategy</w:t>
      </w:r>
    </w:p>
    <w:p w:rsidR="00000000" w:rsidDel="00000000" w:rsidP="00000000" w:rsidRDefault="00000000" w:rsidRPr="00000000" w14:paraId="00000021">
      <w:pPr>
        <w:rPr>
          <w:b w:val="1"/>
          <w:bCs w:val="1"/>
        </w:rPr>
      </w:pPr>
      <w:r w:rsidDel="00000000" w:rsidR="00000000" w:rsidRPr="00000000">
        <w:rPr>
          <w:rtl w:val="0"/>
        </w:rPr>
        <w:t xml:space="preserve">The shift is clear: move away from "paying for a dashboard" and toward  </w:t>
      </w:r>
      <w:r w:rsidDel="00000000" w:rsidR="00000000" w:rsidRPr="00000000">
        <w:rPr>
          <w:b w:val="1"/>
          <w:bCs w:val="1"/>
          <w:rtl w:val="0"/>
        </w:rPr>
        <w:t xml:space="preserve">owning the entity.</w:t>
      </w:r>
    </w:p>
    <w:p w:rsidR="00000000" w:rsidDel="00000000" w:rsidP="00000000" w:rsidRDefault="00000000" w:rsidRPr="00000000" w14:paraId="00000022">
      <w:pPr>
        <w:numPr>
          <w:ilvl w:val="0"/>
          <w:numId w:val="4"/>
        </w:numPr>
        <w:ind w:left="720" w:hanging="360"/>
        <w:rPr>
          <w:u w:val="none"/>
        </w:rPr>
      </w:pPr>
      <w:r w:rsidDel="00000000" w:rsidR="00000000" w:rsidRPr="00000000">
        <w:rPr>
          <w:b w:val="1"/>
          <w:bCs w:val="1"/>
          <w:rtl w:val="0"/>
        </w:rPr>
        <w:t xml:space="preserve">Use 7 Layer Lister’s free tools</w:t>
      </w:r>
      <w:r w:rsidDel="00000000" w:rsidR="00000000" w:rsidRPr="00000000">
        <w:rPr>
          <w:rtl w:val="0"/>
        </w:rPr>
        <w:t xml:space="preserve">  for lean operations and high-authority claiming. It provides the strongest technical signal (Schema + IndexNow) without recurring costs.</w:t>
      </w:r>
    </w:p>
    <w:p w:rsidR="00000000" w:rsidDel="00000000" w:rsidP="00000000" w:rsidRDefault="00000000" w:rsidRPr="00000000" w14:paraId="00000023">
      <w:pPr>
        <w:numPr>
          <w:ilvl w:val="0"/>
          <w:numId w:val="4"/>
        </w:numPr>
        <w:ind w:left="720" w:hanging="360"/>
        <w:rPr>
          <w:u w:val="none"/>
        </w:rPr>
      </w:pPr>
      <w:r w:rsidDel="00000000" w:rsidR="00000000" w:rsidRPr="00000000">
        <w:rPr>
          <w:b w:val="1"/>
          <w:bCs w:val="1"/>
          <w:rtl w:val="0"/>
        </w:rPr>
        <w:t xml:space="preserve">Invest in full-service management (e.g., RankWorks)</w:t>
      </w:r>
      <w:r w:rsidDel="00000000" w:rsidR="00000000" w:rsidRPr="00000000">
        <w:rPr>
          <w:rtl w:val="0"/>
        </w:rPr>
        <w:t xml:space="preserve">  when location counts exceed five. At scale, manual management creates a  </w:t>
      </w:r>
      <w:r w:rsidDel="00000000" w:rsidR="00000000" w:rsidRPr="00000000">
        <w:rPr>
          <w:b w:val="1"/>
          <w:bCs w:val="1"/>
          <w:rtl w:val="0"/>
        </w:rPr>
        <w:t xml:space="preserve">"Leaky Funnel."The Stakes:</w:t>
      </w:r>
      <w:r w:rsidDel="00000000" w:rsidR="00000000" w:rsidRPr="00000000">
        <w:rPr>
          <w:rtl w:val="0"/>
        </w:rPr>
        <w:t xml:space="preserve">  Citations are useless if you can't capture the lead. 7 Layer Studio data shows that  </w:t>
      </w:r>
      <w:r w:rsidDel="00000000" w:rsidR="00000000" w:rsidRPr="00000000">
        <w:rPr>
          <w:b w:val="1"/>
          <w:bCs w:val="1"/>
          <w:rtl w:val="0"/>
        </w:rPr>
        <w:t xml:space="preserve">85% of callers who reach voicemail hang up and immediately call a competitor.</w:t>
      </w:r>
      <w:r w:rsidDel="00000000" w:rsidR="00000000" w:rsidRPr="00000000">
        <w:rPr>
          <w:rtl w:val="0"/>
        </w:rPr>
        <w:t xml:space="preserve">  A 2026 strategy must pair clean entity signals with automated lead capture (AI Receptionists or Missed-Call Text-Back) to ensure that visibility translates into revenue. Own your data, lock your identity, and answer the call.</w:t>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